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吉之星 × 吉之星工程集团 产业AI合作调研与解决方案报告</w:t>
      </w:r>
    </w:p>
    <w:p>
      <w:r>
        <w:t>报告编号: fe380cd4ab764c83</w:t>
      </w:r>
    </w:p>
    <w:p/>
    <w:p>
      <w:pPr>
        <w:pStyle w:val="Heading1"/>
      </w:pPr>
      <w:r>
        <w:t>1. 客户概况</w:t>
      </w:r>
    </w:p>
    <w:p>
      <w:pPr>
        <w:pStyle w:val="Heading2"/>
      </w:pPr>
      <w:r>
        <w:t>1.1 企业基本信息、行业归属与规模</w:t>
      </w:r>
    </w:p>
    <w:p>
      <w:pPr>
        <w:pStyle w:val="ListBullet"/>
      </w:pPr>
      <w:r>
        <w:t>**公司名称**：吉之星工程集团（官网：www.jzxgc.com）</w:t>
      </w:r>
    </w:p>
    <w:p>
      <w:pPr>
        <w:pStyle w:val="ListBullet"/>
      </w:pPr>
      <w:r>
        <w:t>**成立时间**：2014年</w:t>
      </w:r>
    </w:p>
    <w:p>
      <w:pPr>
        <w:pStyle w:val="ListBullet"/>
      </w:pPr>
      <w:r>
        <w:t>**注册资本**：5200万人民币</w:t>
      </w:r>
    </w:p>
    <w:p>
      <w:pPr>
        <w:pStyle w:val="ListBullet"/>
      </w:pPr>
      <w:r>
        <w:t>**行业归属**：建筑工程（数据中心/智算中心EPC总包、机电安装、液冷设备制造）</w:t>
      </w:r>
    </w:p>
    <w:p>
      <w:pPr>
        <w:pStyle w:val="ListBullet"/>
      </w:pPr>
      <w:r>
        <w:t>**企业规模**：中型企业，拥有河南总部及北京、深圳、天津子公司，覆盖华中、华北、粤港澳三大算力枢纽。具备承接大型、超大型数据中心及智算中心项目的能力，年营收规模未明确，但项目承接能力达亿元级别。</w:t>
      </w:r>
    </w:p>
    <w:p>
      <w:pPr>
        <w:pStyle w:val="ListBullet"/>
      </w:pPr>
      <w:r>
        <w:t>**核心资质**：持有建筑、智能化、机电、制冷、对外承包工程等一级资质，可承接全流程总包（设计-施工-制冷-配电-储能集成）。</w:t>
      </w:r>
    </w:p>
    <w:p>
      <w:pPr>
        <w:pStyle w:val="Heading2"/>
      </w:pPr>
      <w:r>
        <w:t>1.2 当前数字化水平、明确需求与潜在需求</w:t>
      </w:r>
    </w:p>
    <w:p>
      <w:pPr>
        <w:pStyle w:val="Heading1"/>
      </w:pPr>
      <w:r>
        <w:t>2. 需求补充说明</w:t>
      </w:r>
    </w:p>
    <w:p>
      <w:r>
        <w:t>本次客户未提供额外补充资料。基于其提供的原始介绍和客户画像，我们梳理出以下关键约束与偏好，这些将对方案设计产生直接影响：</w:t>
      </w:r>
    </w:p>
    <w:p>
      <w:pPr>
        <w:pStyle w:val="ListBullet"/>
      </w:pPr>
      <w:r>
        <w:t>**关键约束**：</w:t>
      </w:r>
    </w:p>
    <w:p>
      <w:pPr>
        <w:pStyle w:val="ListBullet"/>
      </w:pPr>
      <w:r>
        <w:t>**标准对齐**：必须对齐世纪互联AIDC机房建设标准（如Uptime、A级认证），这要求吉之星的施工和设计能力达到国际顶级水平。</w:t>
      </w:r>
    </w:p>
    <w:p>
      <w:pPr>
        <w:pStyle w:val="ListBullet"/>
      </w:pPr>
      <w:r>
        <w:t>**回款周期**：大型EPC项目回款周期长，需在合作协议中明确分阶段付款节点，并探索EMC分成等模式以降低垫资风险。</w:t>
      </w:r>
    </w:p>
    <w:p>
      <w:pPr>
        <w:pStyle w:val="ListBullet"/>
      </w:pPr>
      <w:r>
        <w:t>**区域竞争**：需与世纪互联锁定华中、天津、深圳等区域的独家合作权，避免与其他工程商同质化竞争。</w:t>
      </w:r>
    </w:p>
    <w:p>
      <w:pPr>
        <w:pStyle w:val="ListBullet"/>
      </w:pPr>
      <w:r>
        <w:t>**核心偏好**：</w:t>
      </w:r>
    </w:p>
    <w:p>
      <w:pPr>
        <w:pStyle w:val="ListBullet"/>
      </w:pPr>
      <w:r>
        <w:t>**技术路线**：主推氟液冷、风液混合冷却、800V直流配电、源网荷储一体化。吉之星的自研设备产线需与此高度匹配。</w:t>
      </w:r>
    </w:p>
    <w:p>
      <w:pPr>
        <w:pStyle w:val="ListBullet"/>
      </w:pPr>
      <w:r>
        <w:t>**合作模式**：偏好“试点-推广-深度绑定”的分阶段合作路径，先通过小型项目验证能力，再规模化复制。</w:t>
      </w:r>
    </w:p>
    <w:p>
      <w:pPr>
        <w:pStyle w:val="ListBullet"/>
      </w:pPr>
      <w:r>
        <w:t>**生态协同**：希望与世纪互联的生态伙伴（宁德时代、华为、国家电投）形成协同，共同拓展绿色算力市场。</w:t>
      </w:r>
    </w:p>
    <w:p>
      <w:pPr>
        <w:pStyle w:val="Heading1"/>
      </w:pPr>
      <w:r>
        <w:t>3. 行业背景与痛点分析</w:t>
      </w:r>
    </w:p>
    <w:p>
      <w:pPr>
        <w:pStyle w:val="Heading2"/>
      </w:pPr>
      <w:r>
        <w:t>3.1 行业AI/数字化现状</w:t>
      </w:r>
    </w:p>
    <w:p>
      <w:r>
        <w:t>建筑工程行业正处于数字化转型的加速期，但整体渗透率依然较低。AI应用主要集中在以下领域：</w:t>
      </w:r>
    </w:p>
    <w:p>
      <w:pPr>
        <w:pStyle w:val="ListBullet"/>
      </w:pPr>
      <w:r>
        <w:t>**BIM（建筑信息模型）**：大型设计院和头部工程企业已普遍采用，但AI驱动的自动优化、冲突检测和施工模拟应用尚不广泛。</w:t>
      </w:r>
    </w:p>
    <w:p>
      <w:pPr>
        <w:pStyle w:val="ListBullet"/>
      </w:pPr>
      <w:r>
        <w:t>**智能工地**：通过IoT传感器和AI视频分析进行安全监控、设备管理和环境监测，在特大型项目中试点增多，但中小项目覆盖率不足20%。</w:t>
      </w:r>
    </w:p>
    <w:p>
      <w:pPr>
        <w:pStyle w:val="ListBullet"/>
      </w:pPr>
      <w:r>
        <w:t>**供应链与成本管理**：AI在材料需求预测、采购优化和成本超支预警方面的应用仍属前沿，大多数企业依赖人工经验。</w:t>
      </w:r>
    </w:p>
    <w:p>
      <w:pPr>
        <w:pStyle w:val="Heading2"/>
      </w:pPr>
      <w:r>
        <w:t>3.2 核心痛点深度分析</w:t>
      </w:r>
    </w:p>
    <w:p>
      <w:r>
        <w:t>吉之星工程集团在承接世纪互联这类高端智算中心项目时，将面临以下核心痛点：</w:t>
      </w:r>
    </w:p>
    <w:p>
      <w:r>
        <w:t>1.  **设计效率与精度瓶颈**：</w:t>
      </w:r>
    </w:p>
    <w:p>
      <w:pPr>
        <w:pStyle w:val="ListBullet"/>
      </w:pPr>
      <w:r>
        <w:t>**痛点**：高密度液冷数据中心设计极其复杂，涉及液冷管路、强/弱电、暖通、结构等多专业协同。传统BIM设计依赖人工协调，管线冲突、设计错误频发，导致平均30%的返工率，严重拖累项目周期。</w:t>
      </w:r>
    </w:p>
    <w:p>
      <w:pPr>
        <w:pStyle w:val="ListBullet"/>
      </w:pPr>
      <w:r>
        <w:t>**数据支撑**：行业报告显示，建筑工程平均工期延误率达30%-40%，其中50%以上源于设计沟通不畅或信息不对称。</w:t>
      </w:r>
    </w:p>
    <w:p>
      <w:r>
        <w:t>2.  **施工安全与质量管控风险**：</w:t>
      </w:r>
    </w:p>
    <w:p>
      <w:pPr>
        <w:pStyle w:val="ListBullet"/>
      </w:pPr>
      <w:r>
        <w:t>**痛点**：数据中心施工涉及大量高压电气、液冷管道（氟利昂或水）、精密设备安装，安全风险极高。传统人工巡检无法覆盖所有角落，且缺乏对液冷系统关键参数（压力、温度、泄漏）的实时监控。</w:t>
      </w:r>
    </w:p>
    <w:p>
      <w:pPr>
        <w:pStyle w:val="ListBullet"/>
      </w:pPr>
      <w:r>
        <w:t>**数据支撑**：建筑业事故率高于其他行业，2022年数据显示每10万工人中约有10人死于工伤。</w:t>
      </w:r>
    </w:p>
    <w:p>
      <w:r>
        <w:t>3.  **供应链复杂性与成本超支**：</w:t>
      </w:r>
    </w:p>
    <w:p>
      <w:pPr>
        <w:pStyle w:val="ListBullet"/>
      </w:pPr>
      <w:r>
        <w:t>**痛点**：吉之星需管理自研液冷设备生产、外部采购（配电、柴发、储能）和项目现场施工，供应链链条长、环节多。材料价格波动、供应不及时、库存积压等问题导致约70%的建筑项目存在成本超支，平均超支幅度达15%-20%。</w:t>
      </w:r>
    </w:p>
    <w:p>
      <w:r>
        <w:t>4.  **项目回款与资金压力**：</w:t>
      </w:r>
    </w:p>
    <w:p>
      <w:pPr>
        <w:pStyle w:val="ListBullet"/>
      </w:pPr>
      <w:r>
        <w:t>**痛点**：大型EPC项目通常按工程进度付款，但验收周期长，尾款回收困难。吉之星在承接世纪互联全国项目时，需要垫付大量资金用于设备采购和施工，现金流压力巨大。</w:t>
      </w:r>
    </w:p>
    <w:p>
      <w:pPr>
        <w:pStyle w:val="Heading2"/>
      </w:pPr>
      <w:r>
        <w:t>3.3 行业趋势与政策环境</w:t>
      </w:r>
    </w:p>
    <w:p>
      <w:pPr>
        <w:pStyle w:val="ListBullet"/>
      </w:pPr>
      <w:r>
        <w:t>**趋势**：</w:t>
      </w:r>
    </w:p>
    <w:p>
      <w:pPr>
        <w:pStyle w:val="ListBullet"/>
      </w:pPr>
      <w:r>
        <w:t>**AI+ BIM普及**：预计到2025年，全球BIM市场将增长至150亿美元。AI将实现从“辅助设计”到“自动优化设计”的跨越，显著减少返工。</w:t>
      </w:r>
    </w:p>
    <w:p>
      <w:pPr>
        <w:pStyle w:val="ListBullet"/>
      </w:pPr>
      <w:r>
        <w:t>**智能工地规模化**：通过AIoT技术实现工地全要素数字化，2023年智能工地市场规模已达80亿美元，并保持高速增长。</w:t>
      </w:r>
    </w:p>
    <w:p>
      <w:pPr>
        <w:pStyle w:val="ListBullet"/>
      </w:pPr>
      <w:r>
        <w:t>**绿色算力与工程融合**：数据中心向高密度、液冷、绿色化演进，要求工程企业具备“算力+电力+热力”综合解决方案能力。</w:t>
      </w:r>
    </w:p>
    <w:p>
      <w:pPr>
        <w:pStyle w:val="ListBullet"/>
      </w:pPr>
      <w:r>
        <w:t>**政策环境**：</w:t>
      </w:r>
    </w:p>
    <w:p>
      <w:pPr>
        <w:pStyle w:val="ListBullet"/>
      </w:pPr>
      <w:r>
        <w:t>**住建部要求**：2025年前大型建筑企业全面应用BIM技术，并推动智能工地建设。</w:t>
      </w:r>
    </w:p>
    <w:p>
      <w:pPr>
        <w:pStyle w:val="ListBullet"/>
      </w:pPr>
      <w:r>
        <w:t>**“东数西算”工程**：国家大力推动全国一体化算力网络建设，为智算中心建设带来巨大市场机遇。</w:t>
      </w:r>
    </w:p>
    <w:p>
      <w:pPr>
        <w:pStyle w:val="ListBullet"/>
      </w:pPr>
      <w:r>
        <w:t>**“双碳”目标**：对数据中心PUE提出严格要求（新建大型数据中心PUE&lt;1.25），驱动液冷、储能、光伏等绿色技术的应用。</w:t>
      </w:r>
    </w:p>
    <w:p>
      <w:pPr>
        <w:pStyle w:val="Heading1"/>
      </w:pPr>
      <w:r>
        <w:t>4. 吉之星能力匹配与结合点</w:t>
      </w:r>
    </w:p>
    <w:p>
      <w:r>
        <w:t>基于对吉之星集团能力的分析，我们识别出以下与世纪互联合作需求高度匹配的能力，并形成最佳切入点建议。</w:t>
      </w:r>
    </w:p>
    <w:p>
      <w:pPr>
        <w:pStyle w:val="Heading2"/>
      </w:pPr>
      <w:r>
        <w:t>4.1 逐项能力匹配分析</w:t>
      </w:r>
    </w:p>
    <w:p>
      <w:pPr>
        <w:pStyle w:val="Heading2"/>
      </w:pPr>
      <w:r>
        <w:t>4.2 最佳切入点建议</w:t>
      </w:r>
    </w:p>
    <w:p>
      <w:r>
        <w:rPr>
          <w:b/>
        </w:rPr>
        <w:t>建议优先从“AI+BIM智能设计与施工管理”和“智能工地与物联网安全监控”两大能力切入。</w:t>
      </w:r>
    </w:p>
    <w:p>
      <w:pPr>
        <w:pStyle w:val="ListBullet"/>
      </w:pPr>
      <w:r>
        <w:t>**理由**：这两项能力直接对应世纪互联最关心的**交付质量、工期和安全**问题。通过在一个试点项目中（如华中区域的小型存量改造）成功应用，可以快速证明吉之星的数字化交付能力，建立信任，为后续大规模EPC合作和液冷设备供货铺平道路。</w:t>
      </w:r>
    </w:p>
    <w:p>
      <w:pPr>
        <w:pStyle w:val="ListBullet"/>
      </w:pPr>
      <w:r>
        <w:t>**差异化优势**：吉之星自研液冷设备的能力，使其AI-BIM和智能工地平台能够深度适配液冷场景，这是其他纯工程公司或纯软件公司无法比拟的独特优势。</w:t>
      </w:r>
    </w:p>
    <w:p>
      <w:pPr>
        <w:pStyle w:val="Heading1"/>
      </w:pPr>
      <w:r>
        <w:t>5. 子公司/基地深度分析</w:t>
      </w:r>
    </w:p>
    <w:p>
      <w:r>
        <w:t>本次分析未提供子公司/基地的详细数据，故本章暂缺。在后续合作中，建议对吉之星位于河南、北京、深圳、天津的子公司进行逐一调研，分析其本地化交付能力、技术团队实力、与当地世纪互联项目的契合度，以制定更精准的区域合作策略。</w:t>
      </w:r>
    </w:p>
    <w:p>
      <w:pPr>
        <w:pStyle w:val="Heading1"/>
      </w:pPr>
      <w:r>
        <w:t>6. 预期成果与ROI</w:t>
      </w:r>
    </w:p>
    <w:p>
      <w:pPr>
        <w:pStyle w:val="Heading2"/>
      </w:pPr>
      <w:r>
        <w:t>6.1 核心量化成果</w:t>
      </w:r>
    </w:p>
    <w:p>
      <w:pPr>
        <w:pStyle w:val="Heading2"/>
      </w:pPr>
      <w:r>
        <w:t>6.2 ROI总结</w:t>
      </w:r>
    </w:p>
    <w:p>
      <w:r>
        <w:t>通过部署AI+BIM智能设计、智能工地监控、AI供应链优化等核心能力，吉之星工程集团预计可实现：</w:t>
      </w:r>
    </w:p>
    <w:p>
      <w:pPr>
        <w:pStyle w:val="ListBullet"/>
      </w:pPr>
      <w:r>
        <w:t>**成本端**：设计返工率降低33.3%，采购成本降低15%-25%，有效缓解成本超支压力。</w:t>
      </w:r>
    </w:p>
    <w:p>
      <w:pPr>
        <w:pStyle w:val="ListBullet"/>
      </w:pPr>
      <w:r>
        <w:t>**运营端**：工地安全事故率降低50%以上，提升项目交付质量和客户满意度。</w:t>
      </w:r>
    </w:p>
    <w:p>
      <w:pPr>
        <w:pStyle w:val="ListBullet"/>
      </w:pPr>
      <w:r>
        <w:t>**收入端**：借助AI投标助手和世纪互联渠道，新市场订单年增长率可达20%-30%。</w:t>
      </w:r>
    </w:p>
    <w:p>
      <w:pPr>
        <w:pStyle w:val="ListBullet"/>
      </w:pPr>
      <w:r>
        <w:t>**财务端**：通过AI+EMC财务模型，可优化分阶段付款节奏，降低垫资压力，投资回收期预计在12-18个月内。</w:t>
      </w:r>
    </w:p>
    <w:p>
      <w:r>
        <w:rPr>
          <w:b/>
        </w:rPr>
        <w:t>综合来看，本方案的投资回报率（ROI）显著，不仅能帮助吉之星在与世纪互联的合作中占据优势地位，更能驱动其从传统工程总包向“投-建-供-运”一体化服务商进行战略转型，实现长期、可持续的增长。</w:t>
      </w:r>
    </w:p>
    <w:p>
      <w:pPr>
        <w:pStyle w:val="Heading1"/>
      </w:pPr>
      <w:r>
        <w:t>7. 解决方案（分阶段）</w:t>
      </w:r>
    </w:p>
    <w:p>
      <w:r>
        <w:t>本方案旨在通过“AI赋能+战略合作”双轮驱动，帮助吉之星工程集团成为世纪互联的核心战略伙伴。方案强调“不仅要交，还要会用”，配套全周期培训赋能与持续陪跑，确保团队掌握工具并应用于实际项目。</w:t>
      </w:r>
    </w:p>
    <w:p>
      <w:pPr>
        <w:pStyle w:val="Heading2"/>
      </w:pPr>
      <w:r>
        <w:t>7.1 第一阶段：基础建设与试点破冰（第1-3个月）</w:t>
      </w:r>
    </w:p>
    <w:p>
      <w:r>
        <w:rPr>
          <w:b/>
        </w:rPr>
        <w:t>目标：</w:t>
      </w:r>
    </w:p>
    <w:p>
      <w:r>
        <w:t>1. 完成AI-BIM与智能工地平台在吉之星内部的部署，并选定1个试点项目（如世纪互联华中区域的小型存量IDC改造项目）进行验证。</w:t>
      </w:r>
    </w:p>
    <w:p>
      <w:r>
        <w:t>2. 建立与世纪互联AIDC建设标准（Uptime、A级认证）的数据接口和流程对齐。</w:t>
      </w:r>
    </w:p>
    <w:p>
      <w:r>
        <w:rPr>
          <w:b/>
        </w:rPr>
        <w:t>交付物：</w:t>
      </w:r>
    </w:p>
    <w:p>
      <w:pPr>
        <w:pStyle w:val="ListBullet"/>
      </w:pPr>
      <w:r>
        <w:t>AI-BIM设计系统（含液冷专用模块）上线。</w:t>
      </w:r>
    </w:p>
    <w:p>
      <w:pPr>
        <w:pStyle w:val="ListBullet"/>
      </w:pPr>
      <w:r>
        <w:t>智能工地监控平台（含IoT传感器部署方案）上线。</w:t>
      </w:r>
    </w:p>
    <w:p>
      <w:pPr>
        <w:pStyle w:val="ListBullet"/>
      </w:pPr>
      <w:r>
        <w:t>试点项目数据采集与系统配置报告。</w:t>
      </w:r>
    </w:p>
    <w:p>
      <w:r>
        <w:rPr>
          <w:b/>
        </w:rPr>
        <w:t>吉之星分工：</w:t>
      </w:r>
    </w:p>
    <w:p>
      <w:pPr>
        <w:pStyle w:val="ListBullet"/>
      </w:pPr>
      <w:r>
        <w:t>提供系统部署、技术对接与试点项目全程技术支持。</w:t>
      </w:r>
    </w:p>
    <w:p>
      <w:pPr>
        <w:pStyle w:val="ListBullet"/>
      </w:pPr>
      <w:r>
        <w:t>确保系统功能和交付标准符合世纪互联要求。</w:t>
      </w:r>
    </w:p>
    <w:p>
      <w:r>
        <w:rPr>
          <w:b/>
        </w:rPr>
        <w:t>客户配合：</w:t>
      </w:r>
    </w:p>
    <w:p>
      <w:pPr>
        <w:pStyle w:val="ListBullet"/>
      </w:pPr>
      <w:r>
        <w:t>协调世纪互联提供AIDC建设标准文档和试点项目图纸。</w:t>
      </w:r>
    </w:p>
    <w:p>
      <w:pPr>
        <w:pStyle w:val="ListBullet"/>
      </w:pPr>
      <w:r>
        <w:t>指派试点项目团队配合数据采集与系统测试。</w:t>
      </w:r>
    </w:p>
    <w:p>
      <w:r>
        <w:rPr>
          <w:b/>
        </w:rPr>
        <w:t>衡量指标：</w:t>
      </w:r>
    </w:p>
    <w:p>
      <w:pPr>
        <w:pStyle w:val="ListBullet"/>
      </w:pPr>
      <w:r>
        <w:t>系统上线完成率100%。</w:t>
      </w:r>
    </w:p>
    <w:p>
      <w:pPr>
        <w:pStyle w:val="ListBullet"/>
      </w:pPr>
      <w:r>
        <w:t>试点项目数据接入完整性≥90%。</w:t>
      </w:r>
    </w:p>
    <w:p>
      <w:pPr>
        <w:pStyle w:val="ListBullet"/>
      </w:pPr>
      <w:r>
        <w:t>试点项目设计返工率降低10%（从基线30%降至20%）。</w:t>
      </w:r>
    </w:p>
    <w:p>
      <w:pPr>
        <w:pStyle w:val="Heading2"/>
      </w:pPr>
      <w:r>
        <w:t>7.2 第二阶段：全面推广与供应链整合（第4-8个月）</w:t>
      </w:r>
    </w:p>
    <w:p>
      <w:r>
        <w:rPr>
          <w:b/>
        </w:rPr>
        <w:t>目标：</w:t>
      </w:r>
    </w:p>
    <w:p>
      <w:r>
        <w:t>1. 将AI-BIM和智能工地平台推广至吉之星所有在建项目。</w:t>
      </w:r>
    </w:p>
    <w:p>
      <w:r>
        <w:t>2. 部署AI供应链系统，实现液冷设备自研制造与供货的全链条成本透明化。</w:t>
      </w:r>
    </w:p>
    <w:p>
      <w:r>
        <w:rPr>
          <w:b/>
        </w:rPr>
        <w:t>交付物：</w:t>
      </w:r>
    </w:p>
    <w:p>
      <w:pPr>
        <w:pStyle w:val="ListBullet"/>
      </w:pPr>
      <w:r>
        <w:t>AI供应链优化平台（含采购预测与库存管理模块）。</w:t>
      </w:r>
    </w:p>
    <w:p>
      <w:pPr>
        <w:pStyle w:val="ListBullet"/>
      </w:pPr>
      <w:r>
        <w:t>各项目智能工地监控数据看板。</w:t>
      </w:r>
    </w:p>
    <w:p>
      <w:pPr>
        <w:pStyle w:val="ListBullet"/>
      </w:pPr>
      <w:r>
        <w:t>分阶段付款与EMC分成财务模型工具。</w:t>
      </w:r>
    </w:p>
    <w:p>
      <w:r>
        <w:rPr>
          <w:b/>
        </w:rPr>
        <w:t>吉之星分工：</w:t>
      </w:r>
    </w:p>
    <w:p>
      <w:pPr>
        <w:pStyle w:val="ListBullet"/>
      </w:pPr>
      <w:r>
        <w:t>主导系统推广与集成，提供供应链数据建模与财务优化支持。</w:t>
      </w:r>
    </w:p>
    <w:p>
      <w:pPr>
        <w:pStyle w:val="ListBullet"/>
      </w:pPr>
      <w:r>
        <w:t>协助客户建立新的工作流程。</w:t>
      </w:r>
    </w:p>
    <w:p>
      <w:r>
        <w:rPr>
          <w:b/>
        </w:rPr>
        <w:t>客户配合：</w:t>
      </w:r>
    </w:p>
    <w:p>
      <w:pPr>
        <w:pStyle w:val="ListBullet"/>
      </w:pPr>
      <w:r>
        <w:t>推动各项目经理使用系统，并提供历史采购与财务数据用于模型训练。</w:t>
      </w:r>
    </w:p>
    <w:p>
      <w:pPr>
        <w:pStyle w:val="ListBullet"/>
      </w:pPr>
      <w:r>
        <w:t>在项目合同中引入分阶段付款和EMC分成条款。</w:t>
      </w:r>
    </w:p>
    <w:p>
      <w:r>
        <w:rPr>
          <w:b/>
        </w:rPr>
        <w:t>衡量指标：</w:t>
      </w:r>
    </w:p>
    <w:p>
      <w:pPr>
        <w:pStyle w:val="ListBullet"/>
      </w:pPr>
      <w:r>
        <w:t>所有在建项目平台覆盖率100%。</w:t>
      </w:r>
    </w:p>
    <w:p>
      <w:pPr>
        <w:pStyle w:val="ListBullet"/>
      </w:pPr>
      <w:r>
        <w:t>采购成本降低15%（相对基线）。</w:t>
      </w:r>
    </w:p>
    <w:p>
      <w:pPr>
        <w:pStyle w:val="ListBullet"/>
      </w:pPr>
      <w:r>
        <w:t>工地安全事故预警响应时间&lt;5分钟。</w:t>
      </w:r>
    </w:p>
    <w:p>
      <w:pPr>
        <w:pStyle w:val="Heading2"/>
      </w:pPr>
      <w:r>
        <w:t>7.3 第三阶段：深化运营与联合创新（第9-12个月）</w:t>
      </w:r>
    </w:p>
    <w:p>
      <w:r>
        <w:rPr>
          <w:b/>
        </w:rPr>
        <w:t>目标：</w:t>
      </w:r>
    </w:p>
    <w:p>
      <w:r>
        <w:t>1. 建立AI辅助投标与市场拓展能力，开始获取政企私有算力机房订单。</w:t>
      </w:r>
    </w:p>
    <w:p>
      <w:r>
        <w:t>2. 联合世纪互联启动液冷+高密度算力联合实验室，申报新基建补贴。</w:t>
      </w:r>
    </w:p>
    <w:p>
      <w:r>
        <w:rPr>
          <w:b/>
        </w:rPr>
        <w:t>交付物：</w:t>
      </w:r>
    </w:p>
    <w:p>
      <w:pPr>
        <w:pStyle w:val="ListBullet"/>
      </w:pPr>
      <w:r>
        <w:t>AI投标助手系统（含政策补贴数据库）。</w:t>
      </w:r>
    </w:p>
    <w:p>
      <w:pPr>
        <w:pStyle w:val="ListBullet"/>
      </w:pPr>
      <w:r>
        <w:t>联合实验室研发平台与知识产权共享协议。</w:t>
      </w:r>
    </w:p>
    <w:p>
      <w:pPr>
        <w:pStyle w:val="ListBullet"/>
      </w:pPr>
      <w:r>
        <w:t>EMC节能效益验证报告（基于实际能耗数据）。</w:t>
      </w:r>
    </w:p>
    <w:p>
      <w:r>
        <w:rPr>
          <w:b/>
        </w:rPr>
        <w:t>吉之星分工：</w:t>
      </w:r>
    </w:p>
    <w:p>
      <w:pPr>
        <w:pStyle w:val="ListBullet"/>
      </w:pPr>
      <w:r>
        <w:t>提供AI投标系统与研发平台。</w:t>
      </w:r>
    </w:p>
    <w:p>
      <w:pPr>
        <w:pStyle w:val="ListBullet"/>
      </w:pPr>
      <w:r>
        <w:t>协助实验室成果转化与补贴申报。</w:t>
      </w:r>
    </w:p>
    <w:p>
      <w:r>
        <w:rPr>
          <w:b/>
        </w:rPr>
        <w:t>客户配合：</w:t>
      </w:r>
    </w:p>
    <w:p>
      <w:pPr>
        <w:pStyle w:val="ListBullet"/>
      </w:pPr>
      <w:r>
        <w:t>提供市场渠道与政企客户资源。</w:t>
      </w:r>
    </w:p>
    <w:p>
      <w:pPr>
        <w:pStyle w:val="ListBullet"/>
      </w:pPr>
      <w:r>
        <w:t>参与实验室研发与数据共享。</w:t>
      </w:r>
    </w:p>
    <w:p>
      <w:r>
        <w:rPr>
          <w:b/>
        </w:rPr>
        <w:t>衡量指标：</w:t>
      </w:r>
    </w:p>
    <w:p>
      <w:pPr>
        <w:pStyle w:val="ListBullet"/>
      </w:pPr>
      <w:r>
        <w:t>新市场订单年增长率≥20%。</w:t>
      </w:r>
    </w:p>
    <w:p>
      <w:pPr>
        <w:pStyle w:val="ListBullet"/>
      </w:pPr>
      <w:r>
        <w:t>联合实验室专利申报≥2项。</w:t>
      </w:r>
    </w:p>
    <w:p>
      <w:pPr>
        <w:pStyle w:val="ListBullet"/>
      </w:pPr>
      <w:r>
        <w:t>补贴申报成功率≥80%。</w:t>
      </w:r>
    </w:p>
    <w:p>
      <w:pPr>
        <w:pStyle w:val="Heading2"/>
      </w:pPr>
      <w:r>
        <w:t>7.4 培训赋能计划</w:t>
      </w:r>
    </w:p>
    <w:p>
      <w:r>
        <w:rPr>
          <w:b/>
        </w:rPr>
        <w:t>核心理念：“工具交付+能力转移”，确保团队“会用、爱用、用好”。</w:t>
      </w:r>
    </w:p>
    <w:p>
      <w:r>
        <w:rPr>
          <w:b/>
        </w:rPr>
        <w:t>持续陪跑：设立专属技术支持群，提供每日答疑、月度复盘和季度总结，确保问题及时解决。</w:t>
      </w:r>
    </w:p>
    <w:p>
      <w:pPr>
        <w:pStyle w:val="Heading2"/>
      </w:pPr>
      <w:r>
        <w:t>7.5 资源估算</w:t>
      </w:r>
    </w:p>
    <w:p>
      <w:pPr>
        <w:pStyle w:val="ListBullet"/>
      </w:pPr>
      <w:r>
        <w:t>**吉之星投入团队**：项目经理1人、AI工程师2人、行业顾问1人、培训师1人（共5人全职投入，为期12个月）。</w:t>
      </w:r>
    </w:p>
    <w:p>
      <w:pPr>
        <w:pStyle w:val="ListBullet"/>
      </w:pPr>
      <w:r>
        <w:t>**关键依赖项**：</w:t>
      </w:r>
    </w:p>
    <w:p>
      <w:pPr>
        <w:pStyle w:val="ListBullet"/>
      </w:pPr>
      <w:r>
        <w:t>世纪互联需及时提供AIDC建设标准文档与试点项目数据。</w:t>
      </w:r>
    </w:p>
    <w:p>
      <w:pPr>
        <w:pStyle w:val="ListBullet"/>
      </w:pPr>
      <w:r>
        <w:t>客户各项目经理需积极配合系统推广与数据采集。</w:t>
      </w:r>
    </w:p>
    <w:p>
      <w:pPr>
        <w:pStyle w:val="ListBullet"/>
      </w:pPr>
      <w:r>
        <w:t>客户高层需支持EMC分成模式与联合实验室协议的签订。</w:t>
      </w:r>
    </w:p>
    <w:p>
      <w:pPr>
        <w:pStyle w:val="Heading2"/>
      </w:pPr>
      <w:r>
        <w:t>7.6 风险与应对</w:t>
      </w:r>
    </w:p>
    <w:p>
      <w:pPr>
        <w:pStyle w:val="Heading1"/>
      </w:pPr>
      <w:r>
        <w:t>8. 下一步行动建议</w:t>
      </w:r>
    </w:p>
    <w:p>
      <w:r>
        <w:t>为尽快启动合作，建议吉之星工程集团采取以下具体行动：</w:t>
      </w:r>
    </w:p>
    <w:p>
      <w:r>
        <w:t>1.  **内部启动与对齐**：召开由董事长/总经理主持的内部启动会，明确与世纪互联合作的战略意义，并成立跨部门专项工作组（工程、采购、财务、市场）。</w:t>
      </w:r>
    </w:p>
    <w:p>
      <w:r>
        <w:t>2.  **高层对接与协议签署**：</w:t>
      </w:r>
    </w:p>
    <w:p>
      <w:pPr>
        <w:pStyle w:val="ListBullet"/>
      </w:pPr>
      <w:r>
        <w:t>安排吉之星高层与世纪互联工程、采购、战略部门负责人进行正式会晤。</w:t>
      </w:r>
    </w:p>
    <w:p>
      <w:pPr>
        <w:pStyle w:val="ListBullet"/>
      </w:pPr>
      <w:r>
        <w:t>基于本报告内容，签署《区域工程战略合作意向书》或《框架合作协议》，明确试点项目范围、合作模式、区域独家权及分阶段付款条款。</w:t>
      </w:r>
    </w:p>
    <w:p>
      <w:r>
        <w:t>3.  **试点项目选择与启动**：</w:t>
      </w:r>
    </w:p>
    <w:p>
      <w:pPr>
        <w:pStyle w:val="ListBullet"/>
      </w:pPr>
      <w:r>
        <w:t>与世纪互联共同选定1-2个小型存量IDC改造或边缘节点项目作为试点。</w:t>
      </w:r>
    </w:p>
    <w:p>
      <w:pPr>
        <w:pStyle w:val="ListBullet"/>
      </w:pPr>
      <w:r>
        <w:t>启动AI-BIM和智能工地平台在试点项目的部署。</w:t>
      </w:r>
    </w:p>
    <w:p>
      <w:r>
        <w:t>4.  **团队组建与培训启动**：</w:t>
      </w:r>
    </w:p>
    <w:p>
      <w:pPr>
        <w:pStyle w:val="ListBullet"/>
      </w:pPr>
      <w:r>
        <w:t>组建吉之星内部的项目实施团队（项目经理、AI工程师、行业顾问）。</w:t>
      </w:r>
    </w:p>
    <w:p>
      <w:pPr>
        <w:pStyle w:val="ListBullet"/>
      </w:pPr>
      <w:r>
        <w:t>安排首期“AI-BIM与智能工地平台”培训工作坊，覆盖关键岗位人员（项目经理、设计师、现场安全员）。</w:t>
      </w:r>
    </w:p>
    <w:p>
      <w:pPr>
        <w:pStyle w:val="Heading2"/>
      </w:pPr>
      <w:r>
        <w:t>需要客户配合的事项</w:t>
      </w:r>
    </w:p>
    <w:p>
      <w:pPr>
        <w:pStyle w:val="ListBullet"/>
      </w:pPr>
      <w:r>
        <w:t>提供试点项目的完整图纸、技术标准和历史数据。</w:t>
      </w:r>
    </w:p>
    <w:p>
      <w:pPr>
        <w:pStyle w:val="ListBullet"/>
      </w:pPr>
      <w:r>
        <w:t>协调世纪互联工程团队参与需求对齐会。</w:t>
      </w:r>
    </w:p>
    <w:p>
      <w:pPr>
        <w:pStyle w:val="ListBullet"/>
      </w:pPr>
      <w:r>
        <w:t>指派试点项目的对接人，配合数据采集和系统测试。</w:t>
      </w:r>
    </w:p>
    <w:p>
      <w:pPr>
        <w:pStyle w:val="ListBullet"/>
      </w:pPr>
      <w:r>
        <w:t>在内部推动新工具和流程的采用。</w:t>
      </w:r>
    </w:p>
    <w:p>
      <w:pPr>
        <w:pStyle w:val="Heading2"/>
      </w:pPr>
      <w:r>
        <w:t>吉之星提供的支持</w:t>
      </w:r>
    </w:p>
    <w:p>
      <w:pPr>
        <w:pStyle w:val="ListBullet"/>
      </w:pPr>
      <w:r>
        <w:t>提供本次完整的《产业AI合作调研与解决方案报告》作为战略决策参考。</w:t>
      </w:r>
    </w:p>
    <w:p>
      <w:pPr>
        <w:pStyle w:val="ListBullet"/>
      </w:pPr>
      <w:r>
        <w:t>安排AI专家和行业顾问进行现场技术交流和方案演示。</w:t>
      </w:r>
    </w:p>
    <w:p>
      <w:pPr>
        <w:pStyle w:val="ListBullet"/>
      </w:pPr>
      <w:r>
        <w:t>提供试点项目所需的软件平台和硬件传感器。</w:t>
      </w:r>
    </w:p>
    <w:p>
      <w:pPr>
        <w:pStyle w:val="ListBullet"/>
      </w:pPr>
      <w:r>
        <w:t>提供首期培训课程和持续的技术支持。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t>*本报告由吉之星 Know-How 智能体基于客户介绍、行业网络调研、子公司深度分析和吉之星能力知识库自动生成。*</w:t>
      </w:r>
    </w:p>
    <w:p>
      <w:pPr>
        <w:pStyle w:val="Heading1"/>
      </w:pPr>
      <w:r>
        <w:t>附录：下一步行动清单</w:t>
      </w:r>
    </w:p>
    <w:p>
      <w:pPr>
        <w:pStyle w:val="ListNumber"/>
      </w:pPr>
      <w:r>
        <w:t>与吉之星高层及世纪互联代表召开启动会，确认试点项目与时间表</w:t>
      </w:r>
    </w:p>
    <w:p>
      <w:pPr>
        <w:pStyle w:val="ListNumber"/>
      </w:pPr>
      <w:r>
        <w:t>签订分阶段合作协议，明确付款节点与EMC分成条款</w:t>
      </w:r>
    </w:p>
    <w:p>
      <w:pPr>
        <w:pStyle w:val="ListNumber"/>
      </w:pPr>
      <w:r>
        <w:t>组建项目团队，启动AI-BIM与智能工地平台部署</w:t>
      </w:r>
    </w:p>
    <w:p>
      <w:pPr>
        <w:pStyle w:val="ListNumber"/>
      </w:pPr>
      <w:r>
        <w:t>安排首期培训工作坊，覆盖关键岗位人员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